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Опросный лист на ограничители перенапряжений нелинейные серии ОПН-0 на напряжения </w:t>
      </w:r>
      <w:r>
        <w:rPr>
          <w:rFonts w:cs="Times New Roman" w:ascii="Liberation Serif" w:hAnsi="Liberation Serif"/>
          <w:b/>
          <w:sz w:val="24"/>
          <w:szCs w:val="24"/>
        </w:rPr>
        <w:t>22</w:t>
      </w:r>
      <w:r>
        <w:rPr>
          <w:rFonts w:cs="Times New Roman" w:ascii="Liberation Serif" w:hAnsi="Liberation Serif"/>
          <w:b/>
          <w:sz w:val="24"/>
          <w:szCs w:val="24"/>
        </w:rPr>
        <w:t>0 кВ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Количество: </w:t>
      </w:r>
      <w:r>
        <w:rPr>
          <w:rFonts w:cs="Times New Roman" w:ascii="Liberation Serif" w:hAnsi="Liberation Serif"/>
          <w:sz w:val="24"/>
          <w:szCs w:val="24"/>
        </w:rPr>
        <w:t>2 (два) комплекта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Заказчик: </w:t>
      </w:r>
      <w:r>
        <w:rPr>
          <w:rFonts w:cs="Times New Roman" w:ascii="Liberation Serif" w:hAnsi="Liberation Serif"/>
          <w:sz w:val="24"/>
          <w:szCs w:val="24"/>
        </w:rPr>
        <w:t>АО «ДРСК» «ПЭС»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Объект: </w:t>
      </w:r>
      <w:r>
        <w:rPr>
          <w:rFonts w:cs="Times New Roman" w:ascii="Liberation Serif" w:hAnsi="Liberation Serif"/>
          <w:sz w:val="24"/>
          <w:szCs w:val="24"/>
        </w:rPr>
        <w:t xml:space="preserve">ПС </w:t>
      </w:r>
      <w:r>
        <w:rPr>
          <w:rFonts w:cs="Times New Roman" w:ascii="Liberation Serif" w:hAnsi="Liberation Serif"/>
          <w:sz w:val="24"/>
          <w:szCs w:val="24"/>
        </w:rPr>
        <w:t>22</w:t>
      </w:r>
      <w:r>
        <w:rPr>
          <w:rFonts w:cs="Times New Roman" w:ascii="Liberation Serif" w:hAnsi="Liberation Serif"/>
          <w:sz w:val="24"/>
          <w:szCs w:val="24"/>
        </w:rPr>
        <w:t xml:space="preserve">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Некруглово</w:t>
      </w:r>
    </w:p>
    <w:p>
      <w:pPr>
        <w:pStyle w:val="Normal"/>
        <w:spacing w:before="0" w:after="160"/>
        <w:contextualSpacing/>
        <w:jc w:val="center"/>
        <w:rPr/>
      </w:pPr>
      <w:r>
        <w:rPr/>
      </w:r>
    </w:p>
    <w:tbl>
      <w:tblPr>
        <w:tblW w:w="485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911"/>
        <w:gridCol w:w="2704"/>
        <w:gridCol w:w="1128"/>
        <w:gridCol w:w="1706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наибольшее длительно допустимое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рабочее напряжение, кВ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110/60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/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150/77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220/120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Предназначение для защиты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разземленной нейтрали трансформаторов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высоковольтных аппаратов от грозовых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коммутационных перенапряжений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по установке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1-опорное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Номинальный разрядный ток, кА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Класс пропускной способности при прямоугольном импульсе тока длительностью 2000мкс (амплитуда)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2 — (550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3 — (850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— (1200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5- (1500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Степень загрязнения изоляции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ГОСТ 9920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II* (для ОПН 4 и 5 кл. 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III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IV (для ОПН 2 и 3 кл. 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Дополнительная комплектация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заказу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Датчик тока ДТУ-03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 для измерения тока проводимости под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рабочим напряжением УКТ-03М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Регистратор срабатывания ИТ-Д2.03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Металлоконструкция (стойка) (для ОПН 4 и 5 кл.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ОПН заказа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73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Application>LibreOffice/7.5.5.2$Windows_X86_64 LibreOffice_project/ca8fe7424262805f223b9a2334bc7181abbcbf5e</Application>
  <AppVersion>15.0000</AppVersion>
  <Pages>1</Pages>
  <Words>169</Words>
  <Characters>968</Characters>
  <CharactersWithSpaces>1079</CharactersWithSpaces>
  <Paragraphs>61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2026-05-20T09:44:32Z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